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F2" w:rsidRDefault="002307BB" w:rsidP="002307BB">
      <w:pPr>
        <w:jc w:val="center"/>
        <w:rPr>
          <w:rFonts w:ascii="Cambria" w:hAnsi="Cambria"/>
          <w:b/>
          <w:u w:val="single"/>
        </w:rPr>
      </w:pPr>
      <w:r w:rsidRPr="002307BB">
        <w:rPr>
          <w:rFonts w:ascii="Cambria" w:hAnsi="Cambria"/>
          <w:b/>
          <w:u w:val="single"/>
        </w:rPr>
        <w:t>Understanding Liability and Limitations of Dram Shop Law in Illinois</w:t>
      </w:r>
    </w:p>
    <w:p w:rsidR="00DF7362" w:rsidRDefault="00744E81" w:rsidP="00CF0BF2">
      <w:pPr>
        <w:rPr>
          <w:rFonts w:ascii="Cambria" w:hAnsi="Cambria"/>
        </w:rPr>
      </w:pPr>
      <w:r>
        <w:rPr>
          <w:rFonts w:ascii="Cambria" w:hAnsi="Cambria"/>
        </w:rPr>
        <w:t>All states have laws pertaining to liquor liability that apply to bars, restaurants, clubs, pubs, and other such establishments</w:t>
      </w:r>
      <w:r w:rsidR="00CF0BF2">
        <w:rPr>
          <w:rFonts w:ascii="Cambria" w:hAnsi="Cambria"/>
        </w:rPr>
        <w:t xml:space="preserve"> </w:t>
      </w:r>
      <w:r w:rsidR="002556CD">
        <w:rPr>
          <w:rFonts w:ascii="Cambria" w:hAnsi="Cambria"/>
        </w:rPr>
        <w:t xml:space="preserve">serving and selling alcohol. Under </w:t>
      </w:r>
      <w:r w:rsidR="004A2CBF">
        <w:rPr>
          <w:rFonts w:ascii="Cambria" w:hAnsi="Cambria"/>
        </w:rPr>
        <w:t xml:space="preserve">the </w:t>
      </w:r>
      <w:r w:rsidR="002556CD">
        <w:rPr>
          <w:rFonts w:ascii="Cambria" w:hAnsi="Cambria"/>
        </w:rPr>
        <w:t xml:space="preserve">Illinois Dram Shop Act, also known as </w:t>
      </w:r>
      <w:hyperlink r:id="rId5" w:history="1">
        <w:r w:rsidR="0052117C" w:rsidRPr="0096646C">
          <w:rPr>
            <w:rStyle w:val="Hyperlink"/>
            <w:rFonts w:ascii="Cambria" w:hAnsi="Cambria"/>
          </w:rPr>
          <w:t xml:space="preserve">the </w:t>
        </w:r>
        <w:r w:rsidR="002556CD" w:rsidRPr="0096646C">
          <w:rPr>
            <w:rStyle w:val="Hyperlink"/>
            <w:rFonts w:ascii="Cambria" w:hAnsi="Cambria"/>
          </w:rPr>
          <w:t>Liquor</w:t>
        </w:r>
        <w:r w:rsidR="0052117C" w:rsidRPr="0096646C">
          <w:rPr>
            <w:rStyle w:val="Hyperlink"/>
            <w:rFonts w:ascii="Cambria" w:hAnsi="Cambria"/>
          </w:rPr>
          <w:t xml:space="preserve"> Control Ac</w:t>
        </w:r>
        <w:r w:rsidR="0096646C">
          <w:rPr>
            <w:rStyle w:val="Hyperlink"/>
            <w:rFonts w:ascii="Cambria" w:hAnsi="Cambria"/>
          </w:rPr>
          <w:t>t of 1934</w:t>
        </w:r>
      </w:hyperlink>
      <w:r w:rsidR="0052117C">
        <w:rPr>
          <w:rFonts w:ascii="Cambria" w:hAnsi="Cambria"/>
        </w:rPr>
        <w:t>,</w:t>
      </w:r>
      <w:r w:rsidR="006841C0">
        <w:rPr>
          <w:rFonts w:ascii="Cambria" w:hAnsi="Cambria"/>
        </w:rPr>
        <w:t xml:space="preserve"> a third</w:t>
      </w:r>
      <w:r w:rsidR="00CF0BF2">
        <w:rPr>
          <w:rFonts w:ascii="Cambria" w:hAnsi="Cambria"/>
        </w:rPr>
        <w:t xml:space="preserve"> </w:t>
      </w:r>
      <w:r w:rsidR="006841C0">
        <w:rPr>
          <w:rFonts w:ascii="Cambria" w:hAnsi="Cambria"/>
        </w:rPr>
        <w:t xml:space="preserve">party may bring a lawsuit against an establishment </w:t>
      </w:r>
      <w:r w:rsidR="00CF0BF2">
        <w:rPr>
          <w:rFonts w:ascii="Cambria" w:hAnsi="Cambria"/>
        </w:rPr>
        <w:t xml:space="preserve">that </w:t>
      </w:r>
      <w:r w:rsidR="006841C0">
        <w:rPr>
          <w:rFonts w:ascii="Cambria" w:hAnsi="Cambria"/>
        </w:rPr>
        <w:t xml:space="preserve">served a second party (customer) alcohol, </w:t>
      </w:r>
      <w:r w:rsidR="00CF0BF2">
        <w:rPr>
          <w:rFonts w:ascii="Cambria" w:hAnsi="Cambria"/>
        </w:rPr>
        <w:t xml:space="preserve">and </w:t>
      </w:r>
      <w:r w:rsidR="006841C0">
        <w:rPr>
          <w:rFonts w:ascii="Cambria" w:hAnsi="Cambria"/>
        </w:rPr>
        <w:t>as a result</w:t>
      </w:r>
      <w:r w:rsidR="00CF0BF2">
        <w:rPr>
          <w:rFonts w:ascii="Cambria" w:hAnsi="Cambria"/>
        </w:rPr>
        <w:t>,</w:t>
      </w:r>
      <w:r w:rsidR="006841C0">
        <w:rPr>
          <w:rFonts w:ascii="Cambria" w:hAnsi="Cambria"/>
        </w:rPr>
        <w:t xml:space="preserve"> they suffered injuries and property damage caused by that intoxicated customer. </w:t>
      </w:r>
    </w:p>
    <w:p w:rsidR="0057248B" w:rsidRDefault="0057248B" w:rsidP="00225F46">
      <w:pPr>
        <w:rPr>
          <w:rFonts w:ascii="Cambria" w:hAnsi="Cambria"/>
          <w:b/>
        </w:rPr>
      </w:pPr>
      <w:r w:rsidRPr="0057248B">
        <w:rPr>
          <w:rFonts w:ascii="Cambria" w:hAnsi="Cambria"/>
          <w:b/>
        </w:rPr>
        <w:t xml:space="preserve">Proving Liability </w:t>
      </w:r>
      <w:r w:rsidR="00CF0BF2" w:rsidRPr="0057248B">
        <w:rPr>
          <w:rFonts w:ascii="Cambria" w:hAnsi="Cambria"/>
          <w:b/>
        </w:rPr>
        <w:t>under</w:t>
      </w:r>
      <w:r w:rsidRPr="0057248B">
        <w:rPr>
          <w:rFonts w:ascii="Cambria" w:hAnsi="Cambria"/>
          <w:b/>
        </w:rPr>
        <w:t xml:space="preserve"> the Dram Shop Law</w:t>
      </w:r>
    </w:p>
    <w:p w:rsidR="00A35000" w:rsidRDefault="00EB1A0C" w:rsidP="00225F46">
      <w:pPr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7C4076">
        <w:rPr>
          <w:rFonts w:ascii="Cambria" w:hAnsi="Cambria"/>
        </w:rPr>
        <w:t>Illinois Dram Shop Act assigns vicarious liability to at-fault parties that served or sold alcohol to an individual who late</w:t>
      </w:r>
      <w:r w:rsidR="00741D12">
        <w:rPr>
          <w:rFonts w:ascii="Cambria" w:hAnsi="Cambria"/>
        </w:rPr>
        <w:t>r caused an accident or injury</w:t>
      </w:r>
      <w:r w:rsidR="00206DB1">
        <w:rPr>
          <w:rFonts w:ascii="Cambria" w:hAnsi="Cambria"/>
        </w:rPr>
        <w:t xml:space="preserve"> </w:t>
      </w:r>
      <w:r w:rsidR="00D13CDD">
        <w:rPr>
          <w:rFonts w:ascii="Cambria" w:hAnsi="Cambria"/>
        </w:rPr>
        <w:t xml:space="preserve">due to their subsequent impairment. The Illinois Judiciary has issued the Civil Jury Instructions regarding holding establishments liable for the actions of intoxicated individuals. </w:t>
      </w:r>
      <w:r w:rsidR="00735516">
        <w:rPr>
          <w:rFonts w:ascii="Cambria" w:hAnsi="Cambria"/>
        </w:rPr>
        <w:t xml:space="preserve">Liability under this law applies to both business selling alcoholic beverages and the owners or lessors of the establishment </w:t>
      </w:r>
      <w:r w:rsidR="00593C4A">
        <w:rPr>
          <w:rFonts w:ascii="Cambria" w:hAnsi="Cambria"/>
        </w:rPr>
        <w:t xml:space="preserve">where </w:t>
      </w:r>
      <w:r w:rsidR="00735516">
        <w:rPr>
          <w:rFonts w:ascii="Cambria" w:hAnsi="Cambria"/>
        </w:rPr>
        <w:t xml:space="preserve">they are being sold. </w:t>
      </w:r>
    </w:p>
    <w:p w:rsidR="00C873D4" w:rsidRDefault="00C873D4" w:rsidP="00225F46">
      <w:pPr>
        <w:rPr>
          <w:rFonts w:ascii="Cambria" w:hAnsi="Cambria"/>
        </w:rPr>
      </w:pPr>
      <w:r>
        <w:rPr>
          <w:rFonts w:ascii="Cambria" w:hAnsi="Cambria"/>
        </w:rPr>
        <w:t>In order to establish liability, the plaintiff must prove that:</w:t>
      </w:r>
    </w:p>
    <w:p w:rsidR="00C873D4" w:rsidRDefault="002277D2" w:rsidP="00EE67D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The at-fault driver was intoxicated at the time of the accident</w:t>
      </w:r>
      <w:r w:rsidR="00206DB1">
        <w:rPr>
          <w:rFonts w:ascii="Cambria" w:hAnsi="Cambria"/>
        </w:rPr>
        <w:t>.</w:t>
      </w:r>
    </w:p>
    <w:p w:rsidR="002277D2" w:rsidRDefault="002E0074" w:rsidP="00EE67D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The third party (establishment) served them with alcohol prior to the accident</w:t>
      </w:r>
      <w:r w:rsidR="00206DB1">
        <w:rPr>
          <w:rFonts w:ascii="Cambria" w:hAnsi="Cambria"/>
        </w:rPr>
        <w:t>.</w:t>
      </w:r>
    </w:p>
    <w:p w:rsidR="002E0074" w:rsidRDefault="002E0074" w:rsidP="00EE67D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Consuming that alcohol resulted in the at-fault driver’s intoxication</w:t>
      </w:r>
      <w:r w:rsidR="00206DB1">
        <w:rPr>
          <w:rFonts w:ascii="Cambria" w:hAnsi="Cambria"/>
        </w:rPr>
        <w:t>.</w:t>
      </w:r>
    </w:p>
    <w:p w:rsidR="005B3DEB" w:rsidRDefault="005B3DEB" w:rsidP="00EE67D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The accident was caused due to intoxication</w:t>
      </w:r>
      <w:r w:rsidR="00206DB1">
        <w:rPr>
          <w:rFonts w:ascii="Cambria" w:hAnsi="Cambria"/>
        </w:rPr>
        <w:t>.</w:t>
      </w:r>
    </w:p>
    <w:p w:rsidR="005B3DEB" w:rsidRDefault="005B3DEB" w:rsidP="00EE67D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You suff</w:t>
      </w:r>
      <w:r w:rsidR="00320147">
        <w:rPr>
          <w:rFonts w:ascii="Cambria" w:hAnsi="Cambria"/>
        </w:rPr>
        <w:t>ered damages from the accident</w:t>
      </w:r>
      <w:r w:rsidR="00206DB1">
        <w:rPr>
          <w:rFonts w:ascii="Cambria" w:hAnsi="Cambria"/>
        </w:rPr>
        <w:t>.</w:t>
      </w:r>
    </w:p>
    <w:p w:rsidR="00320147" w:rsidRDefault="009640D6" w:rsidP="00320147">
      <w:pPr>
        <w:rPr>
          <w:rFonts w:ascii="Cambria" w:hAnsi="Cambria"/>
        </w:rPr>
      </w:pPr>
      <w:r>
        <w:rPr>
          <w:rFonts w:ascii="Cambria" w:hAnsi="Cambria"/>
        </w:rPr>
        <w:t>It is important to note that the plaintiff is not required to prove that the at-fault driver was visibly drunk at the time they were served with alcohol. Just showing that alcohol was served is sufficient. In addition, if an adult r</w:t>
      </w:r>
      <w:bookmarkStart w:id="0" w:name="_GoBack"/>
      <w:bookmarkEnd w:id="0"/>
      <w:r>
        <w:rPr>
          <w:rFonts w:ascii="Cambria" w:hAnsi="Cambria"/>
        </w:rPr>
        <w:t xml:space="preserve">ents a hotel room for a minor they know might consume alcohol, it is possible to hold that adult liable for the damages caused by the intoxicated minor. </w:t>
      </w:r>
    </w:p>
    <w:p w:rsidR="00B920FD" w:rsidRDefault="00B920FD" w:rsidP="009640D6">
      <w:pPr>
        <w:rPr>
          <w:rFonts w:ascii="Cambria" w:hAnsi="Cambria"/>
          <w:b/>
        </w:rPr>
      </w:pPr>
      <w:r w:rsidRPr="009640D6">
        <w:rPr>
          <w:rFonts w:ascii="Cambria" w:hAnsi="Cambria"/>
          <w:b/>
        </w:rPr>
        <w:t>Limits on Liability</w:t>
      </w:r>
    </w:p>
    <w:p w:rsidR="0095395B" w:rsidRDefault="0096646C" w:rsidP="00722CFF">
      <w:pPr>
        <w:rPr>
          <w:rFonts w:ascii="Cambria" w:hAnsi="Cambria"/>
        </w:rPr>
      </w:pPr>
      <w:r>
        <w:rPr>
          <w:rFonts w:ascii="Cambria" w:hAnsi="Cambria"/>
        </w:rPr>
        <w:t xml:space="preserve">Every year, the Illinois Comptroller is required to set liability limits </w:t>
      </w:r>
      <w:r w:rsidR="00C21E63">
        <w:rPr>
          <w:rFonts w:ascii="Cambria" w:hAnsi="Cambria"/>
        </w:rPr>
        <w:t>for the legal actions brought under the Dram Shop Act. Generally, the Consumer Price Index-U (CPI-U) of the past year is considered for making calculations</w:t>
      </w:r>
      <w:r w:rsidR="00E831F0">
        <w:rPr>
          <w:rFonts w:ascii="Cambria" w:hAnsi="Cambria"/>
        </w:rPr>
        <w:t xml:space="preserve"> –these limits are subject to change every January due to consumer inflation</w:t>
      </w:r>
      <w:r w:rsidR="0095395B">
        <w:rPr>
          <w:rFonts w:ascii="Cambria" w:hAnsi="Cambria"/>
        </w:rPr>
        <w:t xml:space="preserve">. As per the determinations set forth in January, 2017, the </w:t>
      </w:r>
      <w:hyperlink r:id="rId6" w:history="1">
        <w:r w:rsidR="0095395B" w:rsidRPr="0095395B">
          <w:rPr>
            <w:rStyle w:val="Hyperlink"/>
            <w:rFonts w:ascii="Cambria" w:hAnsi="Cambria"/>
          </w:rPr>
          <w:t>liability limits</w:t>
        </w:r>
      </w:hyperlink>
      <w:r w:rsidR="0095395B">
        <w:rPr>
          <w:rFonts w:ascii="Cambria" w:hAnsi="Cambria"/>
        </w:rPr>
        <w:t xml:space="preserve"> are as follows:</w:t>
      </w:r>
    </w:p>
    <w:p w:rsidR="0096646C" w:rsidRDefault="00BE29C1" w:rsidP="00BE29C1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BE29C1">
        <w:rPr>
          <w:rFonts w:ascii="Cambria" w:hAnsi="Cambria"/>
        </w:rPr>
        <w:t>For accidents involving death or injury on or after January 20, 2017,</w:t>
      </w:r>
      <w:r w:rsidR="00722CF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 court may order recovery or judgment for the damages to the plaintiff not exceeding </w:t>
      </w:r>
      <w:r w:rsidRPr="00BE29C1">
        <w:rPr>
          <w:rFonts w:ascii="Cambria" w:hAnsi="Cambria"/>
        </w:rPr>
        <w:t>$67,356.23</w:t>
      </w:r>
      <w:r>
        <w:rPr>
          <w:rFonts w:ascii="Cambria" w:hAnsi="Cambria"/>
        </w:rPr>
        <w:t xml:space="preserve"> per person sustaining damages</w:t>
      </w:r>
      <w:r w:rsidR="00722CFF">
        <w:rPr>
          <w:rFonts w:ascii="Cambria" w:hAnsi="Cambria"/>
        </w:rPr>
        <w:t>.</w:t>
      </w:r>
    </w:p>
    <w:p w:rsidR="00BE29C1" w:rsidRDefault="00BE29C1" w:rsidP="00BE29C1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BE29C1">
        <w:rPr>
          <w:rFonts w:ascii="Cambria" w:hAnsi="Cambria"/>
        </w:rPr>
        <w:t xml:space="preserve">For accidents involving </w:t>
      </w:r>
      <w:r>
        <w:rPr>
          <w:rFonts w:ascii="Cambria" w:hAnsi="Cambria"/>
        </w:rPr>
        <w:t>property damage</w:t>
      </w:r>
      <w:r w:rsidRPr="00BE29C1">
        <w:rPr>
          <w:rFonts w:ascii="Cambria" w:hAnsi="Cambria"/>
        </w:rPr>
        <w:t xml:space="preserve"> on or after January 20, 2017, </w:t>
      </w:r>
      <w:r>
        <w:rPr>
          <w:rFonts w:ascii="Cambria" w:hAnsi="Cambria"/>
        </w:rPr>
        <w:t xml:space="preserve">a court may order recovery or judgment for the damages to the plaintiff not exceeding </w:t>
      </w:r>
      <w:r w:rsidRPr="00BE29C1">
        <w:rPr>
          <w:rFonts w:ascii="Cambria" w:hAnsi="Cambria"/>
        </w:rPr>
        <w:t>$67,356.23</w:t>
      </w:r>
      <w:r>
        <w:rPr>
          <w:rFonts w:ascii="Cambria" w:hAnsi="Cambria"/>
        </w:rPr>
        <w:t xml:space="preserve"> per person sustaining damages</w:t>
      </w:r>
      <w:r w:rsidR="00637E2A">
        <w:rPr>
          <w:rFonts w:ascii="Cambria" w:hAnsi="Cambria"/>
        </w:rPr>
        <w:t>.</w:t>
      </w:r>
    </w:p>
    <w:p w:rsidR="00BE29C1" w:rsidRDefault="00BE29C1" w:rsidP="00BE29C1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BE29C1">
        <w:rPr>
          <w:rFonts w:ascii="Cambria" w:hAnsi="Cambria"/>
        </w:rPr>
        <w:t>For accidents resulting</w:t>
      </w:r>
      <w:r w:rsidR="00637E2A">
        <w:rPr>
          <w:rFonts w:ascii="Cambria" w:hAnsi="Cambria"/>
        </w:rPr>
        <w:t xml:space="preserve"> in</w:t>
      </w:r>
      <w:r w:rsidRPr="00BE29C1">
        <w:rPr>
          <w:rFonts w:ascii="Cambria" w:hAnsi="Cambria"/>
        </w:rPr>
        <w:t xml:space="preserve"> either loss of society or loss of means of support due to the injury or death of any individual on or after January 20, 2017, a court may order recovery or judgment to the plaintiff not exceeding</w:t>
      </w:r>
      <w:r w:rsidR="00637E2A">
        <w:rPr>
          <w:rFonts w:ascii="Cambria" w:hAnsi="Cambria"/>
        </w:rPr>
        <w:t xml:space="preserve"> </w:t>
      </w:r>
      <w:r w:rsidRPr="00BE29C1">
        <w:rPr>
          <w:rFonts w:ascii="Cambria" w:hAnsi="Cambria"/>
        </w:rPr>
        <w:t>$82,324.28</w:t>
      </w:r>
      <w:r w:rsidR="00637E2A">
        <w:rPr>
          <w:rFonts w:ascii="Cambria" w:hAnsi="Cambria"/>
        </w:rPr>
        <w:t>.</w:t>
      </w:r>
    </w:p>
    <w:p w:rsidR="00E831F0" w:rsidRDefault="00C57421" w:rsidP="00E831F0">
      <w:pPr>
        <w:rPr>
          <w:rFonts w:ascii="Cambria" w:hAnsi="Cambria"/>
        </w:rPr>
      </w:pPr>
      <w:r>
        <w:rPr>
          <w:rFonts w:ascii="Cambria" w:hAnsi="Cambria"/>
        </w:rPr>
        <w:t xml:space="preserve">If alcohol is served to underage customers, the consequences are more severe. According to the Liquor Control Act, it is a criminal offense to serve alcohol to a minor, whether this act is done in a public location, a business, or a private home. </w:t>
      </w:r>
    </w:p>
    <w:p w:rsidR="00C57421" w:rsidRPr="00E831F0" w:rsidRDefault="005C1426" w:rsidP="00E831F0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If you have been involved in an accident involving an intoxicated driver, you may be </w:t>
      </w:r>
      <w:r w:rsidR="00B678CC">
        <w:rPr>
          <w:rFonts w:ascii="Cambria" w:hAnsi="Cambria"/>
        </w:rPr>
        <w:t xml:space="preserve">able to sue the establishment that sold or served the at-fault party with alcohol. It is best to discuss your case with an </w:t>
      </w:r>
      <w:hyperlink r:id="rId7" w:history="1">
        <w:r w:rsidR="00B678CC" w:rsidRPr="00741D12">
          <w:rPr>
            <w:rStyle w:val="Hyperlink"/>
            <w:rFonts w:ascii="Cambria" w:hAnsi="Cambria"/>
          </w:rPr>
          <w:t>experienced personal injury attorney</w:t>
        </w:r>
      </w:hyperlink>
      <w:r w:rsidR="00B678CC">
        <w:rPr>
          <w:rFonts w:ascii="Cambria" w:hAnsi="Cambria"/>
        </w:rPr>
        <w:t xml:space="preserve"> to explore the possibilities in your case to get the maximum compensation. </w:t>
      </w:r>
      <w:hyperlink r:id="rId8" w:history="1">
        <w:r w:rsidR="00B678CC">
          <w:rPr>
            <w:rStyle w:val="Hyperlink"/>
            <w:rFonts w:ascii="Cambria" w:hAnsi="Cambria" w:cs="Times New Roman"/>
          </w:rPr>
          <w:t>Contact</w:t>
        </w:r>
      </w:hyperlink>
      <w:r w:rsidR="00B678CC">
        <w:rPr>
          <w:rFonts w:ascii="Cambria" w:hAnsi="Cambria" w:cs="Times New Roman"/>
        </w:rPr>
        <w:t xml:space="preserve"> Fisk &amp; Monteleone LTD. today at 815-209-9030 to schedule a free case consultation</w:t>
      </w:r>
      <w:r w:rsidR="00B678CC">
        <w:rPr>
          <w:rFonts w:ascii="Cambria" w:hAnsi="Cambria"/>
        </w:rPr>
        <w:t xml:space="preserve">. </w:t>
      </w:r>
    </w:p>
    <w:p w:rsidR="0096646C" w:rsidRDefault="0096646C" w:rsidP="009640D6">
      <w:pPr>
        <w:rPr>
          <w:rFonts w:ascii="Cambria" w:hAnsi="Cambria"/>
          <w:b/>
        </w:rPr>
      </w:pPr>
    </w:p>
    <w:p w:rsidR="004A2CBF" w:rsidRDefault="004A2CBF" w:rsidP="009640D6">
      <w:pPr>
        <w:rPr>
          <w:rFonts w:ascii="Cambria" w:hAnsi="Cambria"/>
          <w:b/>
        </w:rPr>
      </w:pPr>
    </w:p>
    <w:p w:rsidR="00B920FD" w:rsidRPr="00C77DAB" w:rsidRDefault="00B920FD" w:rsidP="00C77DAB">
      <w:pPr>
        <w:rPr>
          <w:rFonts w:ascii="Cambria" w:hAnsi="Cambria"/>
        </w:rPr>
      </w:pPr>
    </w:p>
    <w:sectPr w:rsidR="00B920FD" w:rsidRPr="00C77DAB" w:rsidSect="00E2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408C6"/>
    <w:multiLevelType w:val="multilevel"/>
    <w:tmpl w:val="79E2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D1553"/>
    <w:multiLevelType w:val="hybridMultilevel"/>
    <w:tmpl w:val="90D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96A9C"/>
    <w:multiLevelType w:val="multilevel"/>
    <w:tmpl w:val="783E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FC2606"/>
    <w:multiLevelType w:val="hybridMultilevel"/>
    <w:tmpl w:val="CF42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0276F"/>
    <w:multiLevelType w:val="multilevel"/>
    <w:tmpl w:val="1DA4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7BB"/>
    <w:rsid w:val="00034FBE"/>
    <w:rsid w:val="0009359E"/>
    <w:rsid w:val="0017489B"/>
    <w:rsid w:val="001A0D56"/>
    <w:rsid w:val="00206DB1"/>
    <w:rsid w:val="00225F46"/>
    <w:rsid w:val="002277D2"/>
    <w:rsid w:val="002307BB"/>
    <w:rsid w:val="002556CD"/>
    <w:rsid w:val="002E0074"/>
    <w:rsid w:val="0031414B"/>
    <w:rsid w:val="00320147"/>
    <w:rsid w:val="00432D62"/>
    <w:rsid w:val="004A2CBF"/>
    <w:rsid w:val="004A7580"/>
    <w:rsid w:val="0052117C"/>
    <w:rsid w:val="0057248B"/>
    <w:rsid w:val="00593C4A"/>
    <w:rsid w:val="005B3DEB"/>
    <w:rsid w:val="005C1426"/>
    <w:rsid w:val="00637E2A"/>
    <w:rsid w:val="00663CD2"/>
    <w:rsid w:val="006841C0"/>
    <w:rsid w:val="00722CFF"/>
    <w:rsid w:val="00735516"/>
    <w:rsid w:val="00741D12"/>
    <w:rsid w:val="00744E81"/>
    <w:rsid w:val="007C4076"/>
    <w:rsid w:val="00850EA5"/>
    <w:rsid w:val="0095395B"/>
    <w:rsid w:val="009640D6"/>
    <w:rsid w:val="0096646C"/>
    <w:rsid w:val="00986530"/>
    <w:rsid w:val="00A00677"/>
    <w:rsid w:val="00A35000"/>
    <w:rsid w:val="00AD7E09"/>
    <w:rsid w:val="00B678CC"/>
    <w:rsid w:val="00B920FD"/>
    <w:rsid w:val="00B94782"/>
    <w:rsid w:val="00BA0D62"/>
    <w:rsid w:val="00BD1D39"/>
    <w:rsid w:val="00BE29C1"/>
    <w:rsid w:val="00C21E63"/>
    <w:rsid w:val="00C57421"/>
    <w:rsid w:val="00C77DAB"/>
    <w:rsid w:val="00C873D4"/>
    <w:rsid w:val="00CF0BF2"/>
    <w:rsid w:val="00D13CDD"/>
    <w:rsid w:val="00DF7362"/>
    <w:rsid w:val="00E254B1"/>
    <w:rsid w:val="00E831F0"/>
    <w:rsid w:val="00EB1A0C"/>
    <w:rsid w:val="00EE67DE"/>
    <w:rsid w:val="00FB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22235-9888-464C-84DA-CF26536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4B1"/>
  </w:style>
  <w:style w:type="paragraph" w:styleId="Heading3">
    <w:name w:val="heading 3"/>
    <w:basedOn w:val="Normal"/>
    <w:link w:val="Heading3Char"/>
    <w:uiPriority w:val="9"/>
    <w:qFormat/>
    <w:rsid w:val="00B92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20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20FD"/>
    <w:rPr>
      <w:b/>
      <w:bCs/>
    </w:rPr>
  </w:style>
  <w:style w:type="character" w:styleId="Hyperlink">
    <w:name w:val="Hyperlink"/>
    <w:basedOn w:val="DefaultParagraphFont"/>
    <w:uiPriority w:val="99"/>
    <w:unhideWhenUsed/>
    <w:rsid w:val="00B920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67DE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96646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rockfordlawyers.com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rrockfordlawyers.com/personal-inju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linois.gov/ilcc/News/Pages/2017-Dram-Shop-Liability-Limits-Maximum-Signage-Allowances-and-Minimum-Purchase-Requirements.aspx" TargetMode="External"/><Relationship Id="rId5" Type="http://schemas.openxmlformats.org/officeDocument/2006/relationships/hyperlink" Target="http://www.ilga.gov/legislation/ilcs/ilcs5.asp?ActID=1404&amp;ChapterID=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Crystal Adams</cp:lastModifiedBy>
  <cp:revision>47</cp:revision>
  <dcterms:created xsi:type="dcterms:W3CDTF">2017-10-18T10:32:00Z</dcterms:created>
  <dcterms:modified xsi:type="dcterms:W3CDTF">2017-11-15T18:47:00Z</dcterms:modified>
</cp:coreProperties>
</file>