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684F4B" w:rsidP="00E2287C">
      <w:pPr>
        <w:jc w:val="center"/>
        <w:rPr>
          <w:rFonts w:ascii="Cambria" w:hAnsi="Cambria"/>
          <w:b/>
          <w:u w:val="single"/>
        </w:rPr>
      </w:pPr>
      <w:r w:rsidRPr="00E2287C">
        <w:rPr>
          <w:rFonts w:ascii="Cambria" w:hAnsi="Cambria"/>
          <w:b/>
          <w:u w:val="single"/>
        </w:rPr>
        <w:t>Factors Affecting Determination of Spousal Maintenance in Illinois</w:t>
      </w:r>
    </w:p>
    <w:p w:rsidR="00E858FE" w:rsidRDefault="00C14045" w:rsidP="00E858FE">
      <w:pPr>
        <w:rPr>
          <w:rFonts w:ascii="Cambria" w:hAnsi="Cambria"/>
        </w:rPr>
      </w:pPr>
      <w:r>
        <w:rPr>
          <w:rFonts w:ascii="Cambria" w:hAnsi="Cambria"/>
        </w:rPr>
        <w:t xml:space="preserve">Before the changes were made to the </w:t>
      </w:r>
      <w:hyperlink r:id="rId5" w:history="1">
        <w:r w:rsidRPr="0010293E">
          <w:rPr>
            <w:rStyle w:val="Hyperlink"/>
            <w:rFonts w:ascii="Cambria" w:hAnsi="Cambria"/>
          </w:rPr>
          <w:t>Illinois Marriage and Dissolution of Marriage Act</w:t>
        </w:r>
      </w:hyperlink>
      <w:r>
        <w:rPr>
          <w:rFonts w:ascii="Cambria" w:hAnsi="Cambria"/>
        </w:rPr>
        <w:t xml:space="preserve"> pertaining to spousal maintenance in 2015, courts </w:t>
      </w:r>
      <w:r w:rsidR="00993860">
        <w:rPr>
          <w:rFonts w:ascii="Cambria" w:hAnsi="Cambria"/>
        </w:rPr>
        <w:t xml:space="preserve">made </w:t>
      </w:r>
      <w:r>
        <w:rPr>
          <w:rFonts w:ascii="Cambria" w:hAnsi="Cambria"/>
        </w:rPr>
        <w:t>determinations by weighing in a list of factors</w:t>
      </w:r>
      <w:r w:rsidR="00993860">
        <w:rPr>
          <w:rFonts w:ascii="Cambria" w:hAnsi="Cambria"/>
        </w:rPr>
        <w:t xml:space="preserve"> and had more power</w:t>
      </w:r>
      <w:r>
        <w:rPr>
          <w:rFonts w:ascii="Cambria" w:hAnsi="Cambria"/>
        </w:rPr>
        <w:t xml:space="preserve">. However, a formal formula has been introduced that allows courts to calculate the precise amount to be awarded as alimony to the </w:t>
      </w:r>
      <w:r w:rsidR="00011F82">
        <w:rPr>
          <w:rFonts w:ascii="Cambria" w:hAnsi="Cambria"/>
        </w:rPr>
        <w:t>requesting</w:t>
      </w:r>
      <w:r>
        <w:rPr>
          <w:rFonts w:ascii="Cambria" w:hAnsi="Cambria"/>
        </w:rPr>
        <w:t xml:space="preserve"> spouse. </w:t>
      </w:r>
    </w:p>
    <w:p w:rsidR="00C14045" w:rsidRDefault="00FC335D" w:rsidP="00E858FE">
      <w:pPr>
        <w:rPr>
          <w:rFonts w:ascii="Cambria" w:hAnsi="Cambria"/>
        </w:rPr>
      </w:pPr>
      <w:r>
        <w:rPr>
          <w:rFonts w:ascii="Cambria" w:hAnsi="Cambria"/>
        </w:rPr>
        <w:t>B</w:t>
      </w:r>
      <w:r w:rsidR="00C14045">
        <w:rPr>
          <w:rFonts w:ascii="Cambria" w:hAnsi="Cambria"/>
        </w:rPr>
        <w:t>efore the new law</w:t>
      </w:r>
      <w:r>
        <w:rPr>
          <w:rFonts w:ascii="Cambria" w:hAnsi="Cambria"/>
        </w:rPr>
        <w:t>s</w:t>
      </w:r>
      <w:r w:rsidR="00C14045">
        <w:rPr>
          <w:rFonts w:ascii="Cambria" w:hAnsi="Cambria"/>
        </w:rPr>
        <w:t xml:space="preserve"> were </w:t>
      </w:r>
      <w:r>
        <w:rPr>
          <w:rFonts w:ascii="Cambria" w:hAnsi="Cambria"/>
        </w:rPr>
        <w:t>enforced, a set of factors were used</w:t>
      </w:r>
      <w:r w:rsidR="00C14045">
        <w:rPr>
          <w:rFonts w:ascii="Cambria" w:hAnsi="Cambria"/>
        </w:rPr>
        <w:t xml:space="preserve"> for determining both the eligibility and amount of spousal maintenance</w:t>
      </w:r>
      <w:r>
        <w:rPr>
          <w:rFonts w:ascii="Cambria" w:hAnsi="Cambria"/>
        </w:rPr>
        <w:t>. But now the</w:t>
      </w:r>
      <w:r w:rsidR="00C14045">
        <w:rPr>
          <w:rFonts w:ascii="Cambria" w:hAnsi="Cambria"/>
        </w:rPr>
        <w:t xml:space="preserve">se factors are used for only determining whether maintenance is appropriate for a spouse. </w:t>
      </w:r>
      <w:r w:rsidR="00E617D7">
        <w:rPr>
          <w:rFonts w:ascii="Cambria" w:hAnsi="Cambria"/>
        </w:rPr>
        <w:t>In specific type</w:t>
      </w:r>
      <w:r w:rsidR="00962D3C">
        <w:rPr>
          <w:rFonts w:ascii="Cambria" w:hAnsi="Cambria"/>
        </w:rPr>
        <w:t>s</w:t>
      </w:r>
      <w:r w:rsidR="00E617D7">
        <w:rPr>
          <w:rFonts w:ascii="Cambria" w:hAnsi="Cambria"/>
        </w:rPr>
        <w:t xml:space="preserve"> of cases, courts may deviate or disregard the guidelines for using statutory formula for deciding the duration and amount of the maintenance award. </w:t>
      </w:r>
    </w:p>
    <w:p w:rsidR="002059B8" w:rsidRDefault="009131AB" w:rsidP="00E858FE">
      <w:pPr>
        <w:rPr>
          <w:rFonts w:ascii="Cambria" w:hAnsi="Cambria"/>
        </w:rPr>
      </w:pPr>
      <w:r w:rsidRPr="009131AB">
        <w:rPr>
          <w:rFonts w:ascii="Cambria" w:hAnsi="Cambria"/>
          <w:b/>
        </w:rPr>
        <w:t xml:space="preserve">Spousal Maintenance Factors </w:t>
      </w:r>
      <w:r w:rsidR="00220AE8" w:rsidRPr="009131AB">
        <w:rPr>
          <w:rFonts w:ascii="Cambria" w:hAnsi="Cambria"/>
          <w:b/>
        </w:rPr>
        <w:t>under</w:t>
      </w:r>
      <w:r w:rsidRPr="009131AB">
        <w:rPr>
          <w:rFonts w:ascii="Cambria" w:hAnsi="Cambria"/>
          <w:b/>
        </w:rPr>
        <w:t xml:space="preserve"> the New Illinois Law</w:t>
      </w:r>
    </w:p>
    <w:p w:rsidR="00C14045" w:rsidRDefault="00BA0E17" w:rsidP="00E858FE">
      <w:pPr>
        <w:rPr>
          <w:rFonts w:ascii="Cambria" w:hAnsi="Cambria"/>
        </w:rPr>
      </w:pPr>
      <w:r>
        <w:rPr>
          <w:rFonts w:ascii="Cambria" w:hAnsi="Cambria"/>
        </w:rPr>
        <w:t xml:space="preserve">With the implementation of new spousal maintenance law, the initial process of evaluating whether the maintenance award should be provided in the first place remains almost the same. </w:t>
      </w:r>
      <w:r w:rsidR="00B92588">
        <w:rPr>
          <w:rFonts w:ascii="Cambria" w:hAnsi="Cambria"/>
        </w:rPr>
        <w:t>To ensure the economic aspect of both parties remain unaffected as much as possible, c</w:t>
      </w:r>
      <w:r>
        <w:rPr>
          <w:rFonts w:ascii="Cambria" w:hAnsi="Cambria"/>
        </w:rPr>
        <w:t xml:space="preserve">ourts take into account fourteen factors </w:t>
      </w:r>
      <w:r w:rsidR="00A67D11">
        <w:rPr>
          <w:rFonts w:ascii="Cambria" w:hAnsi="Cambria"/>
        </w:rPr>
        <w:t xml:space="preserve">to </w:t>
      </w:r>
      <w:r w:rsidR="00B92588">
        <w:rPr>
          <w:rFonts w:ascii="Cambria" w:hAnsi="Cambria"/>
        </w:rPr>
        <w:t xml:space="preserve">determine the eligibility for spousal maintenance. </w:t>
      </w:r>
    </w:p>
    <w:p w:rsidR="00B92588" w:rsidRDefault="00B92588" w:rsidP="00B92588">
      <w:pPr>
        <w:pStyle w:val="ListParagraph"/>
        <w:numPr>
          <w:ilvl w:val="0"/>
          <w:numId w:val="3"/>
        </w:numPr>
        <w:rPr>
          <w:rFonts w:ascii="Cambria" w:hAnsi="Cambria"/>
        </w:rPr>
      </w:pPr>
      <w:r>
        <w:rPr>
          <w:rFonts w:ascii="Cambria" w:hAnsi="Cambria"/>
        </w:rPr>
        <w:t>The property and income of both spouses, including non-marital property received by the spouse acquiring alimony</w:t>
      </w:r>
    </w:p>
    <w:p w:rsidR="00181C69" w:rsidRDefault="00181C69" w:rsidP="00B92588">
      <w:pPr>
        <w:pStyle w:val="ListParagraph"/>
        <w:numPr>
          <w:ilvl w:val="0"/>
          <w:numId w:val="3"/>
        </w:numPr>
        <w:rPr>
          <w:rFonts w:ascii="Cambria" w:hAnsi="Cambria"/>
        </w:rPr>
      </w:pPr>
      <w:r>
        <w:rPr>
          <w:rFonts w:ascii="Cambria" w:hAnsi="Cambria"/>
        </w:rPr>
        <w:t>The monetary support needs of both spouses</w:t>
      </w:r>
    </w:p>
    <w:p w:rsidR="00181C69" w:rsidRDefault="00181C69" w:rsidP="00B92588">
      <w:pPr>
        <w:pStyle w:val="ListParagraph"/>
        <w:numPr>
          <w:ilvl w:val="0"/>
          <w:numId w:val="3"/>
        </w:numPr>
        <w:rPr>
          <w:rFonts w:ascii="Cambria" w:hAnsi="Cambria"/>
        </w:rPr>
      </w:pPr>
      <w:r>
        <w:rPr>
          <w:rFonts w:ascii="Cambria" w:hAnsi="Cambria"/>
        </w:rPr>
        <w:t>The duration of the marriage</w:t>
      </w:r>
    </w:p>
    <w:p w:rsidR="00181C69" w:rsidRDefault="00181C69" w:rsidP="00B92588">
      <w:pPr>
        <w:pStyle w:val="ListParagraph"/>
        <w:numPr>
          <w:ilvl w:val="0"/>
          <w:numId w:val="3"/>
        </w:numPr>
        <w:rPr>
          <w:rFonts w:ascii="Cambria" w:hAnsi="Cambria"/>
        </w:rPr>
      </w:pPr>
      <w:r>
        <w:rPr>
          <w:rFonts w:ascii="Cambria" w:hAnsi="Cambria"/>
        </w:rPr>
        <w:t>The lifestyle during the marriage of both spouses</w:t>
      </w:r>
    </w:p>
    <w:p w:rsidR="009C0E84" w:rsidRDefault="009C0E84" w:rsidP="00B92588">
      <w:pPr>
        <w:pStyle w:val="ListParagraph"/>
        <w:numPr>
          <w:ilvl w:val="0"/>
          <w:numId w:val="3"/>
        </w:numPr>
        <w:rPr>
          <w:rFonts w:ascii="Cambria" w:hAnsi="Cambria"/>
        </w:rPr>
      </w:pPr>
      <w:r>
        <w:rPr>
          <w:rFonts w:ascii="Cambria" w:hAnsi="Cambria"/>
        </w:rPr>
        <w:t>All sources of private and public income, such as retirement and disability income</w:t>
      </w:r>
    </w:p>
    <w:p w:rsidR="009E5712" w:rsidRDefault="009C0E84" w:rsidP="00B92588">
      <w:pPr>
        <w:pStyle w:val="ListParagraph"/>
        <w:numPr>
          <w:ilvl w:val="0"/>
          <w:numId w:val="3"/>
        </w:numPr>
        <w:rPr>
          <w:rFonts w:ascii="Cambria" w:hAnsi="Cambria"/>
        </w:rPr>
      </w:pPr>
      <w:r>
        <w:rPr>
          <w:rFonts w:ascii="Cambria" w:hAnsi="Cambria"/>
        </w:rPr>
        <w:t>The age, and the emotional and physical state of both spouses</w:t>
      </w:r>
    </w:p>
    <w:p w:rsidR="009C0E84" w:rsidRDefault="009C0E84" w:rsidP="00B92588">
      <w:pPr>
        <w:pStyle w:val="ListParagraph"/>
        <w:numPr>
          <w:ilvl w:val="0"/>
          <w:numId w:val="3"/>
        </w:numPr>
        <w:rPr>
          <w:rFonts w:ascii="Cambria" w:hAnsi="Cambria"/>
        </w:rPr>
      </w:pPr>
      <w:r>
        <w:rPr>
          <w:rFonts w:ascii="Cambria" w:hAnsi="Cambria"/>
        </w:rPr>
        <w:t>The effect of tax implications due to property division on the economic circumstances of both spouses</w:t>
      </w:r>
    </w:p>
    <w:p w:rsidR="00986D9A" w:rsidRDefault="00986D9A" w:rsidP="00B92588">
      <w:pPr>
        <w:pStyle w:val="ListParagraph"/>
        <w:numPr>
          <w:ilvl w:val="0"/>
          <w:numId w:val="3"/>
        </w:numPr>
        <w:rPr>
          <w:rFonts w:ascii="Cambria" w:hAnsi="Cambria"/>
        </w:rPr>
      </w:pPr>
      <w:r>
        <w:rPr>
          <w:rFonts w:ascii="Cambria" w:hAnsi="Cambria"/>
        </w:rPr>
        <w:t>The Homemaker Contribution</w:t>
      </w:r>
    </w:p>
    <w:p w:rsidR="009C0E84" w:rsidRDefault="009C0E84" w:rsidP="00B92588">
      <w:pPr>
        <w:pStyle w:val="ListParagraph"/>
        <w:numPr>
          <w:ilvl w:val="0"/>
          <w:numId w:val="3"/>
        </w:numPr>
        <w:rPr>
          <w:rFonts w:ascii="Cambria" w:hAnsi="Cambria"/>
        </w:rPr>
      </w:pPr>
      <w:r>
        <w:rPr>
          <w:rFonts w:ascii="Cambria" w:hAnsi="Cambria"/>
        </w:rPr>
        <w:t>Whether the spouse seeking maintenance made any notable contributions to the education, career, training, or employment of the other spouse</w:t>
      </w:r>
    </w:p>
    <w:p w:rsidR="009C0E84" w:rsidRDefault="009C0E84" w:rsidP="009C0E84">
      <w:pPr>
        <w:pStyle w:val="ListParagraph"/>
        <w:numPr>
          <w:ilvl w:val="0"/>
          <w:numId w:val="3"/>
        </w:numPr>
        <w:rPr>
          <w:rFonts w:ascii="Cambria" w:hAnsi="Cambria"/>
        </w:rPr>
      </w:pPr>
      <w:r>
        <w:rPr>
          <w:rFonts w:ascii="Cambria" w:hAnsi="Cambria"/>
        </w:rPr>
        <w:t>The current and future earning capacity of both spouses</w:t>
      </w:r>
    </w:p>
    <w:p w:rsidR="009C0E84" w:rsidRDefault="009C0E84" w:rsidP="009C0E84">
      <w:pPr>
        <w:pStyle w:val="ListParagraph"/>
        <w:numPr>
          <w:ilvl w:val="0"/>
          <w:numId w:val="3"/>
        </w:numPr>
        <w:rPr>
          <w:rFonts w:ascii="Cambria" w:hAnsi="Cambria"/>
        </w:rPr>
      </w:pPr>
      <w:r>
        <w:rPr>
          <w:rFonts w:ascii="Cambria" w:hAnsi="Cambria"/>
        </w:rPr>
        <w:t xml:space="preserve">Any impairment or damage to the requesting spouse’s earning capacity because of a decision to put employment, training, education, or career opportunities on hold </w:t>
      </w:r>
    </w:p>
    <w:p w:rsidR="009C0E84" w:rsidRDefault="009C0E84" w:rsidP="00B92588">
      <w:pPr>
        <w:pStyle w:val="ListParagraph"/>
        <w:numPr>
          <w:ilvl w:val="0"/>
          <w:numId w:val="3"/>
        </w:numPr>
        <w:rPr>
          <w:rFonts w:ascii="Cambria" w:hAnsi="Cambria"/>
        </w:rPr>
      </w:pPr>
      <w:r>
        <w:rPr>
          <w:rFonts w:ascii="Cambria" w:hAnsi="Cambria"/>
        </w:rPr>
        <w:t>The time required for obtaining the training, education, and employment by the spouse seeking maintenance to become self-supporting</w:t>
      </w:r>
    </w:p>
    <w:p w:rsidR="009C0E84" w:rsidRDefault="009C0E84" w:rsidP="009B5BE3">
      <w:pPr>
        <w:pStyle w:val="ListParagraph"/>
        <w:numPr>
          <w:ilvl w:val="0"/>
          <w:numId w:val="3"/>
        </w:numPr>
        <w:rPr>
          <w:rFonts w:ascii="Cambria" w:hAnsi="Cambria"/>
        </w:rPr>
      </w:pPr>
      <w:r>
        <w:rPr>
          <w:rFonts w:ascii="Cambria" w:hAnsi="Cambria"/>
        </w:rPr>
        <w:t>Any valid agreement, like post- or pre-nuptial agreement, signed between the parties</w:t>
      </w:r>
    </w:p>
    <w:p w:rsidR="009C0E84" w:rsidRDefault="009C0E84" w:rsidP="00B92588">
      <w:pPr>
        <w:pStyle w:val="ListParagraph"/>
        <w:numPr>
          <w:ilvl w:val="0"/>
          <w:numId w:val="3"/>
        </w:numPr>
        <w:rPr>
          <w:rFonts w:ascii="Cambria" w:hAnsi="Cambria"/>
        </w:rPr>
      </w:pPr>
      <w:r>
        <w:rPr>
          <w:rFonts w:ascii="Cambria" w:hAnsi="Cambria"/>
        </w:rPr>
        <w:t xml:space="preserve">Any other factors </w:t>
      </w:r>
      <w:r w:rsidR="00986D9A">
        <w:rPr>
          <w:rFonts w:ascii="Cambria" w:hAnsi="Cambria"/>
        </w:rPr>
        <w:t>that may be equitable and just for the court</w:t>
      </w:r>
    </w:p>
    <w:p w:rsidR="00BC78AD" w:rsidRPr="00BC78AD" w:rsidRDefault="0010293E" w:rsidP="00BC78AD">
      <w:pPr>
        <w:rPr>
          <w:rFonts w:ascii="Cambria" w:hAnsi="Cambria"/>
        </w:rPr>
      </w:pPr>
      <w:r>
        <w:rPr>
          <w:rFonts w:ascii="Cambria" w:hAnsi="Cambria"/>
        </w:rPr>
        <w:t xml:space="preserve">After establishing the need for alimony award for the requesting spouse using the above factors, the court will use the predefined formula in the statutory guidelines for calculating the actual amount to be ordered. However, if the court believes both spouses are self-supporting, it may not award spousal maintenance, regardless </w:t>
      </w:r>
      <w:r w:rsidR="009B5BE3">
        <w:rPr>
          <w:rFonts w:ascii="Cambria" w:hAnsi="Cambria"/>
        </w:rPr>
        <w:t xml:space="preserve">of </w:t>
      </w:r>
      <w:r>
        <w:rPr>
          <w:rFonts w:ascii="Cambria" w:hAnsi="Cambria"/>
        </w:rPr>
        <w:t xml:space="preserve">whether one spouse is earning more than the other. </w:t>
      </w:r>
    </w:p>
    <w:p w:rsidR="0010293E" w:rsidRDefault="0010293E" w:rsidP="00472E7B">
      <w:pPr>
        <w:rPr>
          <w:rFonts w:ascii="Cambria" w:hAnsi="Cambria"/>
        </w:rPr>
      </w:pPr>
      <w:r>
        <w:rPr>
          <w:rFonts w:ascii="Cambria" w:hAnsi="Cambria"/>
        </w:rPr>
        <w:t xml:space="preserve">While the new laws make it more justifiable </w:t>
      </w:r>
      <w:r w:rsidR="009B5BE3">
        <w:rPr>
          <w:rFonts w:ascii="Cambria" w:hAnsi="Cambria"/>
        </w:rPr>
        <w:t xml:space="preserve">that </w:t>
      </w:r>
      <w:r>
        <w:rPr>
          <w:rFonts w:ascii="Cambria" w:hAnsi="Cambria"/>
        </w:rPr>
        <w:t xml:space="preserve">the amount of alimony </w:t>
      </w:r>
      <w:r w:rsidR="009B5BE3">
        <w:rPr>
          <w:rFonts w:ascii="Cambria" w:hAnsi="Cambria"/>
        </w:rPr>
        <w:t xml:space="preserve">is </w:t>
      </w:r>
      <w:r>
        <w:rPr>
          <w:rFonts w:ascii="Cambria" w:hAnsi="Cambria"/>
        </w:rPr>
        <w:t xml:space="preserve">awarded to the receiving spouse, there are many complex aspects you may have to understand during your divorce. It </w:t>
      </w:r>
      <w:r w:rsidR="00791ECD">
        <w:rPr>
          <w:rFonts w:ascii="Cambria" w:hAnsi="Cambria"/>
        </w:rPr>
        <w:t>is recommended</w:t>
      </w:r>
      <w:r w:rsidR="00225D1D">
        <w:rPr>
          <w:rFonts w:ascii="Cambria" w:hAnsi="Cambria"/>
        </w:rPr>
        <w:t xml:space="preserve"> to retain</w:t>
      </w:r>
      <w:bookmarkStart w:id="0" w:name="_GoBack"/>
      <w:bookmarkEnd w:id="0"/>
      <w:r>
        <w:rPr>
          <w:rFonts w:ascii="Cambria" w:hAnsi="Cambria"/>
        </w:rPr>
        <w:t xml:space="preserve"> legal counsel of an </w:t>
      </w:r>
      <w:hyperlink r:id="rId6" w:history="1">
        <w:r w:rsidRPr="0009124E">
          <w:rPr>
            <w:rStyle w:val="Hyperlink"/>
            <w:rFonts w:ascii="Cambria" w:hAnsi="Cambria"/>
          </w:rPr>
          <w:t xml:space="preserve">experienced </w:t>
        </w:r>
        <w:r w:rsidR="00791ECD">
          <w:rPr>
            <w:rStyle w:val="Hyperlink"/>
            <w:rFonts w:ascii="Cambria" w:hAnsi="Cambria"/>
          </w:rPr>
          <w:t>spousal maintenance</w:t>
        </w:r>
        <w:r w:rsidRPr="0009124E">
          <w:rPr>
            <w:rStyle w:val="Hyperlink"/>
            <w:rFonts w:ascii="Cambria" w:hAnsi="Cambria"/>
          </w:rPr>
          <w:t xml:space="preserve"> attorney</w:t>
        </w:r>
      </w:hyperlink>
      <w:r>
        <w:rPr>
          <w:rFonts w:ascii="Cambria" w:hAnsi="Cambria"/>
        </w:rPr>
        <w:t xml:space="preserve"> to determine </w:t>
      </w:r>
      <w:r>
        <w:rPr>
          <w:rFonts w:ascii="Cambria" w:hAnsi="Cambria"/>
        </w:rPr>
        <w:lastRenderedPageBreak/>
        <w:t>the most suitable way forward.</w:t>
      </w:r>
      <w:r w:rsidR="009B5BE3">
        <w:rPr>
          <w:rFonts w:ascii="Cambria" w:hAnsi="Cambria"/>
        </w:rPr>
        <w:t xml:space="preserve"> </w:t>
      </w:r>
      <w:hyperlink r:id="rId7" w:history="1">
        <w:r>
          <w:rPr>
            <w:rStyle w:val="Hyperlink"/>
            <w:rFonts w:ascii="Cambria" w:hAnsi="Cambria"/>
          </w:rPr>
          <w:t>C</w:t>
        </w:r>
        <w:r w:rsidRPr="00C17F20">
          <w:rPr>
            <w:rStyle w:val="Hyperlink"/>
            <w:rFonts w:ascii="Cambria" w:hAnsi="Cambria"/>
          </w:rPr>
          <w:t>ontact</w:t>
        </w:r>
      </w:hyperlink>
      <w:r>
        <w:rPr>
          <w:rFonts w:ascii="Cambria" w:hAnsi="Cambria"/>
          <w:szCs w:val="24"/>
        </w:rPr>
        <w:t xml:space="preserve"> the Fitzgerald Law Firm, P.C. to schedule a free consultation today.</w:t>
      </w:r>
    </w:p>
    <w:p w:rsidR="00472E7B" w:rsidRPr="00472E7B" w:rsidRDefault="00472E7B" w:rsidP="00472E7B">
      <w:pPr>
        <w:rPr>
          <w:rFonts w:ascii="Cambria" w:hAnsi="Cambria"/>
        </w:rPr>
      </w:pPr>
    </w:p>
    <w:sectPr w:rsidR="00472E7B" w:rsidRPr="00472E7B" w:rsidSect="00376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052B"/>
    <w:multiLevelType w:val="hybridMultilevel"/>
    <w:tmpl w:val="DF9E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5448"/>
    <w:multiLevelType w:val="multilevel"/>
    <w:tmpl w:val="4F02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A04E1"/>
    <w:multiLevelType w:val="multilevel"/>
    <w:tmpl w:val="9FC6D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760ADE"/>
    <w:multiLevelType w:val="multilevel"/>
    <w:tmpl w:val="109A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84F4B"/>
    <w:rsid w:val="00011F82"/>
    <w:rsid w:val="00034FBE"/>
    <w:rsid w:val="0010293E"/>
    <w:rsid w:val="0017489B"/>
    <w:rsid w:val="00181C69"/>
    <w:rsid w:val="0019205E"/>
    <w:rsid w:val="002059B8"/>
    <w:rsid w:val="00220AE8"/>
    <w:rsid w:val="00225D1D"/>
    <w:rsid w:val="00376E4E"/>
    <w:rsid w:val="003C3A0A"/>
    <w:rsid w:val="00472E7B"/>
    <w:rsid w:val="00684F4B"/>
    <w:rsid w:val="00791ECD"/>
    <w:rsid w:val="009131AB"/>
    <w:rsid w:val="00962D3C"/>
    <w:rsid w:val="00986D9A"/>
    <w:rsid w:val="00993860"/>
    <w:rsid w:val="009B5BE3"/>
    <w:rsid w:val="009C0E84"/>
    <w:rsid w:val="009E5712"/>
    <w:rsid w:val="00A67D11"/>
    <w:rsid w:val="00B14339"/>
    <w:rsid w:val="00B92588"/>
    <w:rsid w:val="00BA0E17"/>
    <w:rsid w:val="00BC78AD"/>
    <w:rsid w:val="00C14045"/>
    <w:rsid w:val="00DE2049"/>
    <w:rsid w:val="00E2287C"/>
    <w:rsid w:val="00E46257"/>
    <w:rsid w:val="00E617D7"/>
    <w:rsid w:val="00E858FE"/>
    <w:rsid w:val="00FC33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ADCD"/>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E4E"/>
  </w:style>
  <w:style w:type="paragraph" w:styleId="Heading3">
    <w:name w:val="heading 3"/>
    <w:basedOn w:val="Normal"/>
    <w:link w:val="Heading3Char"/>
    <w:uiPriority w:val="9"/>
    <w:qFormat/>
    <w:rsid w:val="00DE20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2E7B"/>
    <w:rPr>
      <w:i/>
      <w:iCs/>
    </w:rPr>
  </w:style>
  <w:style w:type="character" w:styleId="Strong">
    <w:name w:val="Strong"/>
    <w:basedOn w:val="DefaultParagraphFont"/>
    <w:uiPriority w:val="22"/>
    <w:qFormat/>
    <w:rsid w:val="00472E7B"/>
    <w:rPr>
      <w:b/>
      <w:bCs/>
    </w:rPr>
  </w:style>
  <w:style w:type="paragraph" w:styleId="NormalWeb">
    <w:name w:val="Normal (Web)"/>
    <w:basedOn w:val="Normal"/>
    <w:uiPriority w:val="99"/>
    <w:semiHidden/>
    <w:unhideWhenUsed/>
    <w:rsid w:val="00472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E2049"/>
    <w:rPr>
      <w:rFonts w:ascii="Times New Roman" w:eastAsia="Times New Roman" w:hAnsi="Times New Roman" w:cs="Times New Roman"/>
      <w:b/>
      <w:bCs/>
      <w:sz w:val="27"/>
      <w:szCs w:val="27"/>
    </w:rPr>
  </w:style>
  <w:style w:type="paragraph" w:styleId="ListParagraph">
    <w:name w:val="List Paragraph"/>
    <w:basedOn w:val="Normal"/>
    <w:uiPriority w:val="34"/>
    <w:qFormat/>
    <w:rsid w:val="00B92588"/>
    <w:pPr>
      <w:ind w:left="720"/>
      <w:contextualSpacing/>
    </w:pPr>
  </w:style>
  <w:style w:type="character" w:styleId="Hyperlink">
    <w:name w:val="Hyperlink"/>
    <w:basedOn w:val="DefaultParagraphFont"/>
    <w:uiPriority w:val="99"/>
    <w:unhideWhenUsed/>
    <w:rsid w:val="0010293E"/>
    <w:rPr>
      <w:color w:val="0563C1" w:themeColor="hyperlink"/>
      <w:u w:val="single"/>
    </w:rPr>
  </w:style>
  <w:style w:type="character" w:customStyle="1" w:styleId="Mention1">
    <w:name w:val="Mention1"/>
    <w:basedOn w:val="DefaultParagraphFont"/>
    <w:uiPriority w:val="99"/>
    <w:semiHidden/>
    <w:unhideWhenUsed/>
    <w:rsid w:val="0010293E"/>
    <w:rPr>
      <w:color w:val="2B579A"/>
      <w:shd w:val="clear" w:color="auto" w:fill="E6E6E6"/>
    </w:rPr>
  </w:style>
  <w:style w:type="paragraph" w:styleId="BalloonText">
    <w:name w:val="Balloon Text"/>
    <w:basedOn w:val="Normal"/>
    <w:link w:val="BalloonTextChar"/>
    <w:uiPriority w:val="99"/>
    <w:semiHidden/>
    <w:unhideWhenUsed/>
    <w:rsid w:val="009B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8288">
      <w:bodyDiv w:val="1"/>
      <w:marLeft w:val="0"/>
      <w:marRight w:val="0"/>
      <w:marTop w:val="0"/>
      <w:marBottom w:val="0"/>
      <w:divBdr>
        <w:top w:val="none" w:sz="0" w:space="0" w:color="auto"/>
        <w:left w:val="none" w:sz="0" w:space="0" w:color="auto"/>
        <w:bottom w:val="none" w:sz="0" w:space="0" w:color="auto"/>
        <w:right w:val="none" w:sz="0" w:space="0" w:color="auto"/>
      </w:divBdr>
    </w:div>
    <w:div w:id="413161013">
      <w:bodyDiv w:val="1"/>
      <w:marLeft w:val="0"/>
      <w:marRight w:val="0"/>
      <w:marTop w:val="0"/>
      <w:marBottom w:val="0"/>
      <w:divBdr>
        <w:top w:val="none" w:sz="0" w:space="0" w:color="auto"/>
        <w:left w:val="none" w:sz="0" w:space="0" w:color="auto"/>
        <w:bottom w:val="none" w:sz="0" w:space="0" w:color="auto"/>
        <w:right w:val="none" w:sz="0" w:space="0" w:color="auto"/>
      </w:divBdr>
    </w:div>
    <w:div w:id="435949122">
      <w:bodyDiv w:val="1"/>
      <w:marLeft w:val="0"/>
      <w:marRight w:val="0"/>
      <w:marTop w:val="0"/>
      <w:marBottom w:val="0"/>
      <w:divBdr>
        <w:top w:val="none" w:sz="0" w:space="0" w:color="auto"/>
        <w:left w:val="none" w:sz="0" w:space="0" w:color="auto"/>
        <w:bottom w:val="none" w:sz="0" w:space="0" w:color="auto"/>
        <w:right w:val="none" w:sz="0" w:space="0" w:color="auto"/>
      </w:divBdr>
    </w:div>
    <w:div w:id="14665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tzgeraldlawpc.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zgeraldlawpc.com/family-law/divorce/" TargetMode="External"/><Relationship Id="rId5" Type="http://schemas.openxmlformats.org/officeDocument/2006/relationships/hyperlink" Target="http://www.ilga.gov/legislation/ilcs/ilcs3.asp?ActID=2086&amp;ChapterID=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Crystal Adams</cp:lastModifiedBy>
  <cp:revision>3</cp:revision>
  <dcterms:created xsi:type="dcterms:W3CDTF">2017-10-24T05:24:00Z</dcterms:created>
  <dcterms:modified xsi:type="dcterms:W3CDTF">2017-11-15T20:27:00Z</dcterms:modified>
</cp:coreProperties>
</file>